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footer1.xml" ContentType="application/vnd.openxmlformats-officedocument.wordprocessingml.footer+xml"/>
  <Override PartName="/word/_rels/document.xml.rels" ContentType="application/vnd.openxmlformats-package.relationship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jc w:val="left"/>
        <w:rPr/>
      </w:pP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cs="Times New Roman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</w:p>
    <w:p>
      <w:pPr>
        <w:pStyle w:val="Standard"/>
        <w:jc w:val="right"/>
        <w:rPr>
          <w:rFonts w:ascii="Times New Roman" w:hAnsi="Times New Roman" w:cs="Times New Roman"/>
        </w:rPr>
      </w:pPr>
      <w:r>
        <w:rPr>
          <w:rFonts w:eastAsia="Times New Roman" w:cs="Times New Roman" w:ascii="Times New Roman" w:hAnsi="Times New Roman"/>
          <w:bCs/>
          <w:szCs w:val="28"/>
        </w:rPr>
        <w:t>29.01.2025</w:t>
      </w:r>
    </w:p>
    <w:p>
      <w:pPr>
        <w:pStyle w:val="Standard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jc w:val="left"/>
        <w:rPr>
          <w:highlight w:val="none"/>
        </w:rPr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>
          <w:b/>
          <w:bCs/>
          <w:highlight w:val="none"/>
        </w:rPr>
      </w:pPr>
      <w:r>
        <w:rPr>
          <w:b/>
          <w:bCs/>
          <w:szCs w:val="28"/>
        </w:rPr>
        <w:t>Об итогах деятельности Управления Росреестра по Алтайскому краю по привлечению арбитражных управляющих к административной ответственности за 2024 год</w:t>
      </w:r>
    </w:p>
    <w:p>
      <w:pPr>
        <w:pStyle w:val="Normal"/>
        <w:ind w:hanging="0"/>
        <w:jc w:val="both"/>
        <w:rPr>
          <w:szCs w:val="28"/>
        </w:rPr>
      </w:pPr>
      <w:r>
        <w:rPr>
          <w:szCs w:val="28"/>
        </w:rPr>
      </w:r>
    </w:p>
    <w:p>
      <w:pPr>
        <w:pStyle w:val="Normal"/>
        <w:ind w:firstLine="709"/>
        <w:jc w:val="both"/>
        <w:rPr>
          <w:szCs w:val="28"/>
        </w:rPr>
      </w:pPr>
      <w:r>
        <w:rPr>
          <w:szCs w:val="28"/>
        </w:rPr>
        <w:t>За  2024 год в Управление Росреестра по Алтайскому краю  поступило 281 обращение, заявление, жалоба на действия (бездействие) арбитражных управляющих.</w:t>
      </w:r>
    </w:p>
    <w:p>
      <w:pPr>
        <w:pStyle w:val="Normal"/>
        <w:ind w:firstLine="709"/>
        <w:jc w:val="both"/>
        <w:rPr>
          <w:szCs w:val="28"/>
        </w:rPr>
      </w:pPr>
      <w:r>
        <w:rPr>
          <w:szCs w:val="28"/>
        </w:rPr>
        <w:t>По результатам проведенных административных расследований составлено                    и направлено в арбитражный суд 64 заявления о привлечении арбитражных управляющих к административной ответственности.</w:t>
      </w:r>
    </w:p>
    <w:p>
      <w:pPr>
        <w:pStyle w:val="Normal"/>
        <w:ind w:firstLine="709"/>
        <w:jc w:val="both"/>
        <w:rPr>
          <w:szCs w:val="28"/>
        </w:rPr>
      </w:pPr>
      <w:r>
        <w:rPr>
          <w:szCs w:val="28"/>
        </w:rPr>
        <w:t>Арбитражным судом Алтайского края по заявлениям Управления в 2024 году 10 арбитражных управляющих привлечены к административной ответственности                с назначением наказания в виде  дисквалификации; 28 арбитражным управляющим назначено наказание в виде предупреждения; на 2 арбитражных управляющих наложены административные штрафы на сумму 60 000 рублей; действия (бездействие) 31 арбитражного управляющего признаны судом малозначительными.</w:t>
      </w:r>
    </w:p>
    <w:p>
      <w:pPr>
        <w:pStyle w:val="Normal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Style w:val="Style15"/>
          <w:bCs/>
          <w:i w:val="false"/>
          <w:color w:val="000000" w:themeColor="text1"/>
          <w:sz w:val="28"/>
          <w:szCs w:val="28"/>
          <w:shd w:fill="FFFFFF" w:val="clear"/>
        </w:rPr>
        <w:t xml:space="preserve"> </w:t>
      </w:r>
      <w:r>
        <w:rPr>
          <w:rStyle w:val="Style15"/>
          <w:bCs/>
          <w:i/>
          <w:iCs/>
          <w:color w:val="000000" w:themeColor="text1"/>
          <w:sz w:val="28"/>
          <w:szCs w:val="28"/>
          <w:shd w:fill="FFFFFF" w:val="clear"/>
        </w:rPr>
        <w:t xml:space="preserve"> </w:t>
      </w:r>
      <w:r>
        <w:rPr>
          <w:rStyle w:val="Style15"/>
          <w:rFonts w:eastAsia="Times New Roman" w:cs="Times New Roman"/>
          <w:bCs/>
          <w:i/>
          <w:iCs/>
          <w:color w:val="000000" w:themeColor="text1"/>
          <w:sz w:val="28"/>
          <w:szCs w:val="28"/>
          <w:shd w:fill="FFFFFF" w:val="clear"/>
        </w:rPr>
        <w:t>«</w:t>
      </w:r>
      <w:r>
        <w:rPr>
          <w:rFonts w:eastAsia="Times New Roman" w:cs="Times New Roman"/>
          <w:i/>
          <w:iCs/>
          <w:color w:val="000000" w:themeColor="text1"/>
          <w:sz w:val="28"/>
          <w:szCs w:val="28"/>
          <w:highlight w:val="white"/>
        </w:rPr>
        <w:t>Арбитражный управляющий является профессиональным участником дела о банкротстве, который должен действовать добросовестно и разумно, учитывая интересы участвующих в деле лиц</w:t>
      </w:r>
      <w:r>
        <w:rPr>
          <w:rFonts w:cs="Times New Roman"/>
          <w:i/>
          <w:iCs/>
          <w:sz w:val="28"/>
          <w:szCs w:val="28"/>
        </w:rPr>
        <w:t xml:space="preserve">. Основной задачей Управления при реализации возложенных полномочий в установленной сфере деятельности, является обеспечение защиты прав участвующих в деле о банкротстве лиц от недобросовестных (непрофессиональных) действий (бездействия) арбитражных управляющих. </w:t>
      </w:r>
      <w:r>
        <w:rPr>
          <w:i/>
          <w:iCs/>
          <w:sz w:val="28"/>
          <w:szCs w:val="28"/>
        </w:rPr>
        <w:t>Для этого принимаются различные меры, включая постоянный мониторинг деятельности арбитражных управляющих, которые могут совершать незаконные действия»</w:t>
      </w:r>
      <w:r>
        <w:rPr>
          <w:sz w:val="28"/>
          <w:szCs w:val="28"/>
        </w:rPr>
        <w:t xml:space="preserve">, </w:t>
      </w:r>
      <w:r>
        <w:rPr>
          <w:rStyle w:val="Style15"/>
          <w:bCs/>
          <w:i w:val="false"/>
          <w:color w:val="000000"/>
          <w:szCs w:val="28"/>
          <w:shd w:fill="FFFFFF" w:val="clear"/>
        </w:rPr>
        <w:t xml:space="preserve">- отмечает заместитель руководителя Управления </w:t>
      </w:r>
      <w:r>
        <w:rPr>
          <w:rStyle w:val="Style15"/>
          <w:b/>
          <w:bCs/>
          <w:i w:val="false"/>
          <w:color w:val="000000"/>
          <w:szCs w:val="28"/>
          <w:shd w:fill="FFFFFF" w:val="clear"/>
        </w:rPr>
        <w:t>Елена Саулина</w:t>
      </w:r>
      <w:r>
        <w:rPr>
          <w:rStyle w:val="Style15"/>
          <w:bCs/>
          <w:i w:val="false"/>
          <w:color w:val="000000"/>
          <w:szCs w:val="28"/>
          <w:shd w:fill="FFFFFF" w:val="clear"/>
        </w:rPr>
        <w:t>.</w:t>
      </w:r>
    </w:p>
    <w:p>
      <w:pPr>
        <w:pStyle w:val="Normal"/>
        <w:ind w:hang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ind w:hanging="0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/>
        <w:drawing>
          <wp:inline distT="0" distB="0" distL="0" distR="0">
            <wp:extent cx="5245100" cy="524510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524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hang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/>
      </w:pPr>
      <w:r>
        <w:rPr>
          <w:rFonts w:eastAsia="Calibri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Calibri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Calibri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eastAsia="Calibri"/>
          <w:b/>
          <w:sz w:val="20"/>
          <w:lang w:eastAsia="sk-SK"/>
        </w:rPr>
      </w:pPr>
      <w:r>
        <w:rPr>
          <w:rFonts w:eastAsia="Calibri"/>
          <w:b/>
          <w:sz w:val="20"/>
          <w:lang w:eastAsia="sk-SK"/>
        </w:rPr>
      </w:r>
    </w:p>
    <w:p>
      <w:pPr>
        <w:pStyle w:val="Standard"/>
        <w:jc w:val="left"/>
        <w:rPr/>
      </w:pPr>
      <w:r>
        <w:rPr>
          <w:rFonts w:eastAsia="Calibri"/>
          <w:b/>
          <w:sz w:val="20"/>
          <w:lang w:eastAsia="sk-SK"/>
        </w:rPr>
        <w:t>Контакты для СМИ</w:t>
      </w:r>
    </w:p>
    <w:p>
      <w:pPr>
        <w:pStyle w:val="Standard"/>
        <w:jc w:val="left"/>
        <w:rPr/>
      </w:pPr>
      <w:r>
        <w:rPr>
          <w:rFonts w:eastAsia="Calibri"/>
          <w:sz w:val="20"/>
          <w:lang w:eastAsia="en-US"/>
        </w:rPr>
        <w:t>Пресс-секретарь Управления Росреестра по Алтайскому краю</w:t>
        <w:br/>
      </w:r>
      <w:r>
        <w:rPr>
          <w:sz w:val="20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/>
      </w:pPr>
      <w:hyperlink r:id="rId4" w:tgtFrame="mailto:22press_rosreestr@mail.ru">
        <w:r>
          <w:rPr>
            <w:rFonts w:eastAsia="Calibri"/>
            <w:color w:val="0000FF"/>
            <w:sz w:val="20"/>
            <w:u w:val="single"/>
            <w:shd w:fill="FFFFFF" w:val="clear"/>
          </w:rPr>
          <w:t>22press_rosreestr@mail.ru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r>
        <w:rPr>
          <w:rFonts w:eastAsia="Calibri"/>
          <w:sz w:val="20"/>
          <w:lang w:eastAsia="en-US"/>
        </w:rPr>
        <w:t>656002, Барнаул, ул. Советская, д. 16</w:t>
      </w:r>
    </w:p>
    <w:p>
      <w:pPr>
        <w:pStyle w:val="Standard"/>
        <w:jc w:val="left"/>
        <w:rPr/>
      </w:pPr>
      <w:r>
        <w:rPr>
          <w:rFonts w:eastAsia="Calibri"/>
          <w:sz w:val="20"/>
          <w:lang w:eastAsia="en-US"/>
        </w:rPr>
        <w:t>Сайт Росреестра:</w:t>
      </w:r>
      <w:r>
        <w:rPr>
          <w:sz w:val="20"/>
        </w:rPr>
        <w:t xml:space="preserve"> </w:t>
      </w:r>
      <w:hyperlink r:id="rId5" w:tgtFrame="http://www.rosreestr.gov.ru/"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www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rosreestr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gov</w:t>
        </w:r>
        <w:r>
          <w:rPr>
            <w:rFonts w:eastAsia="Calibri"/>
            <w:color w:val="0000FF"/>
            <w:sz w:val="20"/>
            <w:u w:val="single"/>
            <w:shd w:fill="FFFFFF" w:val="clear"/>
          </w:rPr>
          <w:t>.</w:t>
        </w:r>
        <w:r>
          <w:rPr>
            <w:rFonts w:eastAsia="Calibri"/>
            <w:color w:val="0000FF"/>
            <w:sz w:val="20"/>
            <w:u w:val="single"/>
            <w:shd w:fill="FFFFFF" w:val="clear"/>
            <w:lang w:val="en-US"/>
          </w:rPr>
          <w:t>ru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br/>
      </w:r>
      <w:r>
        <w:rPr>
          <w:rFonts w:eastAsia="Calibri"/>
          <w:sz w:val="20"/>
          <w:lang w:eastAsia="en-US"/>
        </w:rPr>
        <w:t>Яндекс-Дзен:</w:t>
      </w:r>
      <w:r>
        <w:rPr>
          <w:sz w:val="20"/>
        </w:rPr>
        <w:t xml:space="preserve"> </w:t>
      </w:r>
      <w:hyperlink r:id="rId6" w:tgtFrame="https://dzen.ru/id/6392ad9bbc8b8d2fd42961a7">
        <w:r>
          <w:rPr>
            <w:rFonts w:eastAsia="Calibri"/>
            <w:color w:val="0000FF"/>
            <w:sz w:val="20"/>
            <w:u w:val="single"/>
            <w:shd w:fill="FFFFFF" w:val="clear"/>
          </w:rPr>
          <w:t>https://dzen.ru/id/6392ad9bbc8b8d2fd42961a7</w:t>
        </w:r>
      </w:hyperlink>
      <w:r>
        <w:rPr>
          <w:rFonts w:eastAsia="Calibri"/>
          <w:color w:val="0000FF"/>
          <w:sz w:val="20"/>
          <w:u w:val="single"/>
          <w:shd w:fill="FFFFFF" w:val="clear"/>
        </w:rPr>
        <w:tab/>
      </w:r>
    </w:p>
    <w:p>
      <w:pPr>
        <w:pStyle w:val="Standard"/>
        <w:jc w:val="left"/>
        <w:rPr/>
      </w:pPr>
      <w:r>
        <w:rPr>
          <w:rFonts w:eastAsia="Calibri"/>
          <w:sz w:val="20"/>
          <w:lang w:eastAsia="en-US"/>
        </w:rPr>
        <w:t>ВКонтакте:</w:t>
      </w:r>
      <w:r>
        <w:rPr>
          <w:rFonts w:eastAsia="Calibri"/>
          <w:color w:val="0000FF"/>
          <w:sz w:val="20"/>
          <w:shd w:fill="FFFFFF" w:val="clear"/>
        </w:rPr>
        <w:t xml:space="preserve"> </w:t>
      </w:r>
      <w:hyperlink r:id="rId7" w:tgtFrame="https://vk.com/rosreestr_altaiskii_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https://vk.com/rosreestr_altaiskii_krai</w:t>
        </w:r>
      </w:hyperlink>
      <w:r>
        <w:rPr>
          <w:rFonts w:eastAsia="Calibri"/>
          <w:color w:val="0000FF"/>
          <w:sz w:val="20"/>
          <w:shd w:fill="FFFFFF" w:val="clear"/>
        </w:rPr>
        <w:t xml:space="preserve"> </w:t>
        <w:br/>
      </w:r>
      <w:r>
        <w:rPr>
          <w:rFonts w:eastAsia="Calibri"/>
          <w:sz w:val="20"/>
          <w:lang w:eastAsia="en-US"/>
        </w:rPr>
        <w:t>Телеграм-канал: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/>
      </w:pPr>
      <w:r>
        <w:rPr>
          <w:rFonts w:eastAsia="Calibri"/>
          <w:sz w:val="20"/>
          <w:lang w:eastAsia="en-US"/>
        </w:rPr>
        <w:t>Одноклассники:</w:t>
      </w:r>
      <w:r>
        <w:rPr>
          <w:rFonts w:eastAsia="Calibri"/>
          <w:color w:val="0000FF"/>
          <w:sz w:val="20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Calibri"/>
            <w:color w:val="0000FF"/>
            <w:sz w:val="20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pBdr/>
        <w:spacing w:lineRule="auto" w:line="235" w:before="0" w:afterAutospacing="0" w:after="0"/>
        <w:ind w:left="0" w:right="0" w:hanging="0"/>
        <w:jc w:val="left"/>
        <w:rPr>
          <w:rFonts w:ascii="Times New Roman" w:hAnsi="Times New Roman" w:eastAsia="Times New Roman" w:cs="Times New Roman"/>
          <w:b w:val="false"/>
          <w:bCs/>
          <w:i/>
          <w:i/>
          <w:color w:val="06060F"/>
          <w:sz w:val="26"/>
          <w:szCs w:val="26"/>
          <w:highlight w:val="none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https://vk.com/video-46688657_456239105</w:t>
      </w:r>
    </w:p>
    <w:p>
      <w:pPr>
        <w:pStyle w:val="Normal"/>
        <w:ind w:hang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sectPr>
      <w:headerReference w:type="even" r:id="rId9"/>
      <w:headerReference w:type="default" r:id="rId10"/>
      <w:footerReference w:type="first" r:id="rId11"/>
      <w:type w:val="nextPage"/>
      <w:pgSz w:w="11906" w:h="16838"/>
      <w:pgMar w:left="720" w:right="720" w:gutter="0" w:header="709" w:top="766" w:footer="709" w:bottom="720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Tahoma">
    <w:charset w:val="01"/>
    <w:family w:val="roman"/>
    <w:pitch w:val="default"/>
  </w:font>
  <w:font w:name="PT Astra Serif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rPr/>
    </w:pPr>
    <w:r>
      <w:rPr/>
    </w:r>
  </w:p>
  <w:p>
    <w:pPr>
      <w:pStyle w:val="Style25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4"/>
      <w:rPr/>
    </w:pPr>
    <w:r>
      <w:rPr/>
    </w:r>
    <w:r>
      <mc:AlternateContent>
        <mc:Choice Requires="wps">
          <w:drawing>
            <wp:anchor behindDoc="0" distT="0" distB="0" distL="0" distR="0" simplePos="0" locked="0" layoutInCell="1" allowOverlap="1" relativeHeight="0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3" name="Врезка3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05" cy="14605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4"/>
                            <w:pBdr/>
                            <w:rPr>
                              <w:rStyle w:val="Style10"/>
                            </w:rPr>
                          </w:pPr>
                          <w:r>
                            <w:rPr>
                              <w:rStyle w:val="Style10"/>
                            </w:rPr>
                            <w:fldChar w:fldCharType="begin"/>
                          </w:r>
                          <w:r>
                            <w:rPr>
                              <w:rStyle w:val="Style10"/>
                            </w:rPr>
                            <w:instrText xml:space="preserve"> PAGE </w:instrText>
                          </w:r>
                          <w:r>
                            <w:rPr>
                              <w:rStyle w:val="Style10"/>
                            </w:rPr>
                            <w:fldChar w:fldCharType="separate"/>
                          </w:r>
                          <w:r>
                            <w:rPr>
                              <w:rStyle w:val="Style10"/>
                            </w:rPr>
                            <w:t>0</w:t>
                          </w:r>
                          <w:r>
                            <w:rPr>
                              <w:rStyle w:val="Style10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1.15pt;height:1.15pt;mso-wrap-distance-left:0pt;mso-wrap-distance-right:0pt;mso-wrap-distance-top:0pt;mso-wrap-distance-bottom:0pt;margin-top:0.05pt;mso-position-vertical-relative:text;margin-left:0pt;mso-position-horizontal:center;mso-position-horizontal-relative:margin">
              <v:fill opacity="0f"/>
              <v:textbox inset="0in,0in,0in,0in">
                <w:txbxContent>
                  <w:p>
                    <w:pPr>
                      <w:pStyle w:val="Style24"/>
                      <w:pBdr/>
                      <w:rPr>
                        <w:rStyle w:val="Style10"/>
                      </w:rPr>
                    </w:pPr>
                    <w:r>
                      <w:rPr>
                        <w:rStyle w:val="Style10"/>
                      </w:rPr>
                      <w:fldChar w:fldCharType="begin"/>
                    </w:r>
                    <w:r>
                      <w:rPr>
                        <w:rStyle w:val="Style10"/>
                      </w:rPr>
                      <w:instrText xml:space="preserve"> PAGE </w:instrText>
                    </w:r>
                    <w:r>
                      <w:rPr>
                        <w:rStyle w:val="Style10"/>
                      </w:rPr>
                      <w:fldChar w:fldCharType="separate"/>
                    </w:r>
                    <w:r>
                      <w:rPr>
                        <w:rStyle w:val="Style10"/>
                      </w:rPr>
                      <w:t>0</w:t>
                    </w:r>
                    <w:r>
                      <w:rPr>
                        <w:rStyle w:val="Style10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  <w:r>
      <mc:AlternateContent>
        <mc:Choice Requires="wps">
          <w:drawing>
            <wp:anchor behindDoc="0" distT="0" distB="0" distL="0" distR="0" simplePos="0" locked="0" layoutInCell="1" allowOverlap="1" relativeHeight="0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4" name="Врезка2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05" cy="14605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4"/>
                            <w:pBdr/>
                            <w:rPr>
                              <w:rStyle w:val="Style10"/>
                            </w:rPr>
                          </w:pPr>
                          <w:r>
                            <w:rPr>
                              <w:rStyle w:val="Style10"/>
                            </w:rPr>
                            <w:fldChar w:fldCharType="begin"/>
                          </w:r>
                          <w:r>
                            <w:rPr>
                              <w:rStyle w:val="Style10"/>
                            </w:rPr>
                            <w:instrText xml:space="preserve"> PAGE </w:instrText>
                          </w:r>
                          <w:r>
                            <w:rPr>
                              <w:rStyle w:val="Style10"/>
                            </w:rPr>
                            <w:fldChar w:fldCharType="separate"/>
                          </w:r>
                          <w:r>
                            <w:rPr>
                              <w:rStyle w:val="Style10"/>
                            </w:rPr>
                            <w:t>0</w:t>
                          </w:r>
                          <w:r>
                            <w:rPr>
                              <w:rStyle w:val="Style10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1.15pt;height:1.15pt;mso-wrap-distance-left:0pt;mso-wrap-distance-right:0pt;mso-wrap-distance-top:0pt;mso-wrap-distance-bottom:0pt;margin-top:0.05pt;mso-position-vertical-relative:text;margin-left:0pt;mso-position-horizontal:center;mso-position-horizontal-relative:margin">
              <v:fill opacity="0f"/>
              <v:textbox inset="0in,0in,0in,0in">
                <w:txbxContent>
                  <w:p>
                    <w:pPr>
                      <w:pStyle w:val="Style24"/>
                      <w:pBdr/>
                      <w:rPr>
                        <w:rStyle w:val="Style10"/>
                      </w:rPr>
                    </w:pPr>
                    <w:r>
                      <w:rPr>
                        <w:rStyle w:val="Style10"/>
                      </w:rPr>
                      <w:fldChar w:fldCharType="begin"/>
                    </w:r>
                    <w:r>
                      <w:rPr>
                        <w:rStyle w:val="Style10"/>
                      </w:rPr>
                      <w:instrText xml:space="preserve"> PAGE </w:instrText>
                    </w:r>
                    <w:r>
                      <w:rPr>
                        <w:rStyle w:val="Style10"/>
                      </w:rPr>
                      <w:fldChar w:fldCharType="separate"/>
                    </w:r>
                    <w:r>
                      <w:rPr>
                        <w:rStyle w:val="Style10"/>
                      </w:rPr>
                      <w:t>0</w:t>
                    </w:r>
                    <w:r>
                      <w:rPr>
                        <w:rStyle w:val="Style10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4"/>
      <w:rPr/>
    </w:pPr>
    <w:r>
      <w:rPr/>
    </w:r>
    <w:r>
      <mc:AlternateContent>
        <mc:Choice Requires="wps">
          <w:drawing>
            <wp:anchor behindDoc="0" distT="0" distB="0" distL="0" distR="0" simplePos="0" locked="0" layoutInCell="0" allowOverlap="1" relativeHeight="4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89535" cy="204470"/>
              <wp:effectExtent l="0" t="0" r="0" b="0"/>
              <wp:wrapSquare wrapText="bothSides"/>
              <wp:docPr id="5" name="Врезка1"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" cy="204470"/>
                      </a:xfrm>
                      <a:prstGeom prst="rect"/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>
                          <w:pPr>
                            <w:pStyle w:val="Style24"/>
                            <w:pBdr/>
                            <w:rPr>
                              <w:rStyle w:val="Style10"/>
                            </w:rPr>
                          </w:pPr>
                          <w:r>
                            <w:rPr>
                              <w:rStyle w:val="Style10"/>
                            </w:rPr>
                            <w:fldChar w:fldCharType="begin"/>
                          </w:r>
                          <w:r>
                            <w:rPr>
                              <w:rStyle w:val="Style10"/>
                            </w:rPr>
                            <w:instrText xml:space="preserve"> PAGE </w:instrText>
                          </w:r>
                          <w:r>
                            <w:rPr>
                              <w:rStyle w:val="Style10"/>
                            </w:rPr>
                            <w:fldChar w:fldCharType="separate"/>
                          </w:r>
                          <w:r>
                            <w:rPr>
                              <w:rStyle w:val="Style10"/>
                            </w:rPr>
                            <w:t>2</w:t>
                          </w:r>
                          <w:r>
                            <w:rPr>
                              <w:rStyle w:val="Style10"/>
                            </w:rPr>
                            <w:fldChar w:fldCharType="end"/>
                          </w:r>
                        </w:p>
                      </w:txbxContent>
                    </wps:txbx>
                    <wps:bodyPr anchor="t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fillcolor="#FFFFFF" style="position:absolute;rotation:-0;width:7.05pt;height:16.1pt;mso-wrap-distance-left:0pt;mso-wrap-distance-right:0pt;mso-wrap-distance-top:0pt;mso-wrap-distance-bottom:0pt;margin-top:0.05pt;mso-position-vertical-relative:text;margin-left:258.15pt;mso-position-horizontal:center;mso-position-horizontal-relative:margin">
              <v:fill opacity="0f"/>
              <v:textbox inset="0in,0in,0in,0in">
                <w:txbxContent>
                  <w:p>
                    <w:pPr>
                      <w:pStyle w:val="Style24"/>
                      <w:pBdr/>
                      <w:rPr>
                        <w:rStyle w:val="Style10"/>
                      </w:rPr>
                    </w:pPr>
                    <w:r>
                      <w:rPr>
                        <w:rStyle w:val="Style10"/>
                      </w:rPr>
                      <w:fldChar w:fldCharType="begin"/>
                    </w:r>
                    <w:r>
                      <w:rPr>
                        <w:rStyle w:val="Style10"/>
                      </w:rPr>
                      <w:instrText xml:space="preserve"> PAGE </w:instrText>
                    </w:r>
                    <w:r>
                      <w:rPr>
                        <w:rStyle w:val="Style10"/>
                      </w:rPr>
                      <w:fldChar w:fldCharType="separate"/>
                    </w:r>
                    <w:r>
                      <w:rPr>
                        <w:rStyle w:val="Style10"/>
                      </w:rPr>
                      <w:t>2</w:t>
                    </w:r>
                    <w:r>
                      <w:rPr>
                        <w:rStyle w:val="Style10"/>
                      </w:rPr>
                      <w:fldChar w:fldCharType="end"/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Noto Sans Devanagari"/>
        <w:lang w:val="ru-RU" w:eastAsia="zh-CN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8"/>
      <w:szCs w:val="20"/>
      <w:lang w:val="ru-RU" w:eastAsia="ru-RU" w:bidi="ar-SA"/>
    </w:rPr>
  </w:style>
  <w:style w:type="paragraph" w:styleId="1">
    <w:name w:val="Heading 1"/>
    <w:basedOn w:val="Normal"/>
    <w:qFormat/>
    <w:pPr>
      <w:keepNext w:val="true"/>
      <w:outlineLvl w:val="0"/>
    </w:pPr>
    <w:rPr>
      <w:szCs w:val="24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uiPriority w:val="10"/>
    <w:qFormat/>
    <w:rPr>
      <w:sz w:val="48"/>
      <w:szCs w:val="48"/>
    </w:rPr>
  </w:style>
  <w:style w:type="character" w:styleId="SubtitleChar">
    <w:name w:val="Subtitle Char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uiPriority w:val="99"/>
    <w:qFormat/>
    <w:rPr/>
  </w:style>
  <w:style w:type="character" w:styleId="FooterChar">
    <w:name w:val="Footer Char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 w:themeColor="hyperlink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Style9">
    <w:name w:val="Основной шрифт абзаца"/>
    <w:semiHidden/>
    <w:qFormat/>
    <w:rPr/>
  </w:style>
  <w:style w:type="character" w:styleId="Style10">
    <w:name w:val="Page Number"/>
    <w:basedOn w:val="Style9"/>
    <w:rPr/>
  </w:style>
  <w:style w:type="character" w:styleId="Style11">
    <w:name w:val="Гиперссылка"/>
    <w:uiPriority w:val="99"/>
    <w:unhideWhenUsed/>
    <w:qFormat/>
    <w:rPr>
      <w:color w:val="0000FF"/>
      <w:u w:val="single"/>
    </w:rPr>
  </w:style>
  <w:style w:type="character" w:styleId="Style12">
    <w:name w:val="Текст выноски Знак"/>
    <w:qFormat/>
    <w:rPr>
      <w:rFonts w:ascii="Tahoma" w:hAnsi="Tahoma" w:cs="Tahoma"/>
      <w:sz w:val="16"/>
      <w:szCs w:val="16"/>
    </w:rPr>
  </w:style>
  <w:style w:type="character" w:styleId="Style13">
    <w:name w:val="Текст сноски Знак"/>
    <w:basedOn w:val="Style9"/>
    <w:qFormat/>
    <w:rPr/>
  </w:style>
  <w:style w:type="character" w:styleId="Style14">
    <w:name w:val="Знак сноски"/>
    <w:qFormat/>
    <w:rPr>
      <w:vertAlign w:val="superscript"/>
    </w:rPr>
  </w:style>
  <w:style w:type="character" w:styleId="Style15">
    <w:name w:val="Выделение"/>
    <w:uiPriority w:val="20"/>
    <w:qFormat/>
    <w:rPr>
      <w:i/>
      <w:iCs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6">
    <w:name w:val="Заголовок"/>
    <w:basedOn w:val="Normal"/>
    <w:next w:val="Style17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7">
    <w:name w:val="Body Text"/>
    <w:basedOn w:val="Normal"/>
    <w:pPr>
      <w:spacing w:lineRule="auto" w:line="276" w:before="0" w:after="140"/>
    </w:pPr>
    <w:rPr/>
  </w:style>
  <w:style w:type="paragraph" w:styleId="Style18">
    <w:name w:val="List"/>
    <w:basedOn w:val="Style17"/>
    <w:pPr/>
    <w:rPr>
      <w:rFonts w:ascii="PT Astra Serif" w:hAnsi="PT Astra Serif" w:cs="Noto Sans Devanagari"/>
    </w:rPr>
  </w:style>
  <w:style w:type="paragraph" w:styleId="Style19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20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pPr>
      <w:spacing w:before="0" w:after="0"/>
      <w:ind w:left="720" w:hanging="0"/>
      <w:contextualSpacing/>
    </w:pPr>
    <w:rPr/>
  </w:style>
  <w:style w:type="paragraph" w:styleId="NoSpacing">
    <w:name w:val="No Spacing"/>
    <w:uiPriority w:val="1"/>
    <w:qFormat/>
    <w:pPr>
      <w:widowControl/>
      <w:bidi w:val="0"/>
      <w:spacing w:lineRule="auto" w:line="240"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ar-SA"/>
    </w:rPr>
  </w:style>
  <w:style w:type="paragraph" w:styleId="Style21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22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3">
    <w:name w:val="Колонтитул"/>
    <w:basedOn w:val="Normal"/>
    <w:qFormat/>
    <w:pPr/>
    <w:rPr/>
  </w:style>
  <w:style w:type="paragraph" w:styleId="Style24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5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6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7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8">
    <w:name w:val="Index Heading"/>
    <w:basedOn w:val="Style16"/>
    <w:pPr/>
    <w:rPr/>
  </w:style>
  <w:style w:type="paragraph" w:styleId="Style29">
    <w:name w:val="TOC Heading"/>
    <w:uiPriority w:val="39"/>
    <w:unhideWhenUsed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Style30">
    <w:name w:val="Body Text Indent"/>
    <w:basedOn w:val="Normal"/>
    <w:pPr>
      <w:ind w:left="6120" w:hanging="6120"/>
    </w:pPr>
    <w:rPr>
      <w:szCs w:val="24"/>
    </w:rPr>
  </w:style>
  <w:style w:type="paragraph" w:styleId="Style31">
    <w:name w:val=" Знак"/>
    <w:basedOn w:val="Normal"/>
    <w:qFormat/>
    <w:pPr>
      <w:widowControl w:val="false"/>
      <w:jc w:val="both"/>
    </w:pPr>
    <w:rPr>
      <w:rFonts w:ascii="Arial" w:hAnsi="Arial" w:eastAsia="SimSun" w:cs="Arial"/>
      <w:sz w:val="21"/>
      <w:szCs w:val="24"/>
      <w:lang w:val="en-US" w:eastAsia="zh-CN"/>
    </w:rPr>
  </w:style>
  <w:style w:type="paragraph" w:styleId="Style32">
    <w:name w:val="Обычный (веб)"/>
    <w:basedOn w:val="Normal"/>
    <w:uiPriority w:val="99"/>
    <w:unhideWhenUsed/>
    <w:qFormat/>
    <w:pPr>
      <w:spacing w:beforeAutospacing="1" w:afterAutospacing="1"/>
    </w:pPr>
    <w:rPr>
      <w:sz w:val="24"/>
      <w:szCs w:val="24"/>
    </w:rPr>
  </w:style>
  <w:style w:type="paragraph" w:styleId="Style33">
    <w:name w:val="Текст выноски"/>
    <w:basedOn w:val="Normal"/>
    <w:qFormat/>
    <w:pPr/>
    <w:rPr>
      <w:rFonts w:ascii="Tahoma" w:hAnsi="Tahoma" w:cs="Tahoma"/>
      <w:sz w:val="16"/>
      <w:szCs w:val="16"/>
    </w:rPr>
  </w:style>
  <w:style w:type="paragraph" w:styleId="Style34">
    <w:name w:val="Текст сноски"/>
    <w:basedOn w:val="Normal"/>
    <w:qFormat/>
    <w:pPr/>
    <w:rPr>
      <w:sz w:val="20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center"/>
    </w:pPr>
    <w:rPr>
      <w:rFonts w:ascii="PT Astra Serif" w:hAnsi="PT Astra Serif" w:eastAsia="Source Han Sans CN Regular" w:cs="'PT Astra Serif'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8"/>
      <w:sz w:val="28"/>
      <w:szCs w:val="24"/>
      <w:u w:val="none"/>
      <w:vertAlign w:val="baseline"/>
      <w:lang w:val="en-US" w:eastAsia="zh-CN" w:bidi="ar-SA"/>
      <w14:ligatures w14:val="none"/>
    </w:rPr>
  </w:style>
  <w:style w:type="paragraph" w:styleId="Style35">
    <w:name w:val="Содержимое врезки"/>
    <w:basedOn w:val="Normal"/>
    <w:qFormat/>
    <w:pPr/>
    <w:rPr/>
  </w:style>
  <w:style w:type="numbering" w:styleId="Style36">
    <w:name w:val="Нет списка"/>
    <w:semiHidden/>
    <w:qFormat/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header" Target="header1.xml"/><Relationship Id="rId10" Type="http://schemas.openxmlformats.org/officeDocument/2006/relationships/header" Target="header2.xml"/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settings" Target="settings.xml"/><Relationship Id="rId1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2</Pages>
  <Words>353</Words>
  <Characters>2994</Characters>
  <CharactersWithSpaces>3442</CharactersWithSpaces>
  <Paragraphs>21</Paragraphs>
  <Company>frs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2022-07-21T01:54:00Z</dcterms:created>
  <dc:creator>PETRENKO</dc:creator>
  <dc:description/>
  <dc:language>ru-RU</dc:language>
  <cp:lastModifiedBy/>
  <dcterms:modified xsi:type="dcterms:W3CDTF">2025-02-04T15:37:04Z</dcterms:modified>
  <cp:revision>14</cp:revision>
  <dc:subject/>
  <dc:title>Управление</dc:title>
  <cp:version>917504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